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AA" w:rsidRPr="009E2BAA" w:rsidRDefault="007766F7" w:rsidP="009E2BAA">
      <w:pPr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Nonbinding Advisory Opinion</w:t>
      </w:r>
      <w:r w:rsidR="00D03F2B">
        <w:rPr>
          <w:rFonts w:ascii="Times New Roman" w:hAnsi="Times New Roman" w:cs="Times New Roman"/>
          <w:b/>
          <w:sz w:val="28"/>
          <w:szCs w:val="28"/>
        </w:rPr>
        <w:t xml:space="preserve"> Petition</w:t>
      </w:r>
      <w:r>
        <w:rPr>
          <w:rFonts w:ascii="Times New Roman" w:hAnsi="Times New Roman" w:cs="Times New Roman"/>
          <w:b/>
          <w:sz w:val="28"/>
          <w:szCs w:val="28"/>
        </w:rPr>
        <w:t xml:space="preserve"> Submittal and Review Process</w:t>
      </w:r>
    </w:p>
    <w:p w:rsidR="004961EE" w:rsidRDefault="00D03F2B" w:rsidP="0095733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  <w:t>Step 1:</w:t>
      </w:r>
      <w:r w:rsidR="0095733D" w:rsidRPr="008D1F85">
        <w:rPr>
          <w:rFonts w:ascii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ab/>
      </w:r>
      <w:r w:rsidRPr="00D03F2B">
        <w:rPr>
          <w:rFonts w:ascii="Times New Roman" w:hAnsi="Times New Roman" w:cs="Times New Roman"/>
          <w:b/>
          <w:sz w:val="24"/>
          <w:szCs w:val="24"/>
        </w:rPr>
        <w:t>Petition Download: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CDE">
        <w:rPr>
          <w:rFonts w:ascii="Times New Roman" w:hAnsi="Times New Roman" w:cs="Times New Roman"/>
          <w:sz w:val="24"/>
          <w:szCs w:val="24"/>
        </w:rPr>
        <w:t>The Petition for Nonbinding Advisory Opinion is available for</w:t>
      </w:r>
      <w:r w:rsidR="004961EE">
        <w:rPr>
          <w:rFonts w:ascii="Times New Roman" w:hAnsi="Times New Roman" w:cs="Times New Roman"/>
          <w:sz w:val="24"/>
          <w:szCs w:val="24"/>
        </w:rPr>
        <w:t xml:space="preserve"> download from the following link:</w:t>
      </w:r>
      <w:r w:rsidR="009D13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etition_for_Non-Binding_Advisory_Opinio"/>
      <w:r w:rsidR="00401371" w:rsidRPr="00074AA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01371" w:rsidRPr="00074AA2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"https://floridabuilding.org/help/Petition%20for%20Non-Binding%20Advisory%20Opinion.pdf" \t "_blank" </w:instrText>
      </w:r>
      <w:r w:rsidR="00401371" w:rsidRPr="00074AA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F4372" w:rsidRPr="00074AA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t>Petition for Nonb</w:t>
      </w:r>
      <w:r w:rsidR="00401371" w:rsidRPr="00074AA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t>inding Advisory Opinion</w:t>
      </w:r>
      <w:r w:rsidR="00401371" w:rsidRPr="00074AA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:rsidR="0095733D" w:rsidRPr="006530C5" w:rsidRDefault="00D03F2B" w:rsidP="0095733D">
      <w:pPr>
        <w:pStyle w:val="NormalWeb"/>
        <w:shd w:val="clear" w:color="auto" w:fill="FFFFFF"/>
        <w:ind w:left="1440" w:hanging="1440"/>
        <w:rPr>
          <w:color w:val="FF0000"/>
          <w:sz w:val="27"/>
          <w:szCs w:val="27"/>
        </w:rPr>
      </w:pPr>
      <w:r>
        <w:rPr>
          <w:b/>
          <w:bCs/>
          <w:sz w:val="28"/>
          <w:szCs w:val="28"/>
          <w:shd w:val="clear" w:color="auto" w:fill="F2F2F2" w:themeFill="background1" w:themeFillShade="F2"/>
        </w:rPr>
        <w:t>Step 2:</w:t>
      </w:r>
      <w:r w:rsidR="00B45FF5" w:rsidRPr="008D1F85">
        <w:rPr>
          <w:b/>
          <w:bCs/>
          <w:sz w:val="28"/>
          <w:szCs w:val="28"/>
          <w:shd w:val="clear" w:color="auto" w:fill="F2F2F2" w:themeFill="background1" w:themeFillShade="F2"/>
        </w:rPr>
        <w:t xml:space="preserve"> </w:t>
      </w:r>
      <w:r w:rsidR="0095733D" w:rsidRPr="008D1F85">
        <w:rPr>
          <w:b/>
          <w:bCs/>
          <w:sz w:val="28"/>
          <w:szCs w:val="28"/>
          <w:shd w:val="clear" w:color="auto" w:fill="F2F2F2" w:themeFill="background1" w:themeFillShade="F2"/>
        </w:rPr>
        <w:tab/>
      </w:r>
      <w:r w:rsidR="00862CDE">
        <w:rPr>
          <w:b/>
        </w:rPr>
        <w:t>Petition S</w:t>
      </w:r>
      <w:r w:rsidR="004961EE" w:rsidRPr="00862CDE">
        <w:rPr>
          <w:b/>
        </w:rPr>
        <w:t>ubmittal to the</w:t>
      </w:r>
      <w:r w:rsidR="00862CDE">
        <w:rPr>
          <w:b/>
        </w:rPr>
        <w:t xml:space="preserve"> Florida Building</w:t>
      </w:r>
      <w:r w:rsidR="004961EE" w:rsidRPr="00862CDE">
        <w:rPr>
          <w:b/>
        </w:rPr>
        <w:t xml:space="preserve"> Commission</w:t>
      </w:r>
      <w:r w:rsidR="004961EE" w:rsidRPr="007766F7">
        <w:t>:</w:t>
      </w:r>
      <w:r w:rsidR="00862CDE">
        <w:t xml:space="preserve"> Petitioner shall complete the petition and shall</w:t>
      </w:r>
      <w:r w:rsidR="004961EE" w:rsidRPr="007766F7">
        <w:t xml:space="preserve"> </w:t>
      </w:r>
      <w:r w:rsidR="0095733D" w:rsidRPr="007766F7">
        <w:t>serve the</w:t>
      </w:r>
      <w:r w:rsidR="00D343C3" w:rsidRPr="007766F7">
        <w:t xml:space="preserve"> </w:t>
      </w:r>
      <w:r w:rsidR="0095733D" w:rsidRPr="007766F7">
        <w:t>petition on</w:t>
      </w:r>
      <w:r w:rsidR="007766F7" w:rsidRPr="007766F7">
        <w:t xml:space="preserve"> the</w:t>
      </w:r>
      <w:r w:rsidR="0095733D" w:rsidRPr="007766F7">
        <w:t xml:space="preserve"> local government’s general counsel or administrator by certified</w:t>
      </w:r>
      <w:r>
        <w:t xml:space="preserve"> mail, return receipt requested.  Additionally, the petitioner shall </w:t>
      </w:r>
      <w:r w:rsidR="0095733D" w:rsidRPr="007766F7">
        <w:t>send a copy of the</w:t>
      </w:r>
      <w:r w:rsidR="00862CDE">
        <w:t xml:space="preserve"> petition to the Commission by mail or email:</w:t>
      </w:r>
    </w:p>
    <w:p w:rsidR="00074AA2" w:rsidRDefault="00B21E2C" w:rsidP="00074A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E2C">
        <w:rPr>
          <w:rFonts w:ascii="Times New Roman" w:hAnsi="Times New Roman" w:cs="Times New Roman"/>
          <w:sz w:val="24"/>
          <w:szCs w:val="24"/>
        </w:rPr>
        <w:t>(Mailing Address)</w:t>
      </w:r>
      <w:r w:rsidRPr="00B21E2C">
        <w:rPr>
          <w:rFonts w:ascii="Times New Roman" w:hAnsi="Times New Roman" w:cs="Times New Roman"/>
          <w:sz w:val="24"/>
          <w:szCs w:val="24"/>
        </w:rPr>
        <w:br/>
        <w:t>Office of Codes and Standards</w:t>
      </w:r>
    </w:p>
    <w:p w:rsidR="00B21E2C" w:rsidRPr="00B21E2C" w:rsidRDefault="00074AA2" w:rsidP="00074A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Attention: Nonbinding Advisory Opinion Petition</w:t>
      </w:r>
      <w:r w:rsidR="00B21E2C" w:rsidRPr="00B21E2C">
        <w:rPr>
          <w:rFonts w:ascii="Times New Roman" w:hAnsi="Times New Roman" w:cs="Times New Roman"/>
          <w:sz w:val="24"/>
          <w:szCs w:val="24"/>
        </w:rPr>
        <w:br/>
        <w:t>Department of Business and Professional Regulation</w:t>
      </w:r>
      <w:r w:rsidR="00B21E2C" w:rsidRPr="00B21E2C">
        <w:rPr>
          <w:rFonts w:ascii="Times New Roman" w:hAnsi="Times New Roman" w:cs="Times New Roman"/>
          <w:sz w:val="24"/>
          <w:szCs w:val="24"/>
        </w:rPr>
        <w:br/>
        <w:t xml:space="preserve">2601 Blair Stone </w:t>
      </w:r>
      <w:r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br/>
        <w:t>Tallahassee, Florida 32399</w:t>
      </w:r>
      <w:r w:rsidR="00B21E2C" w:rsidRPr="00B21E2C">
        <w:rPr>
          <w:rFonts w:ascii="Times New Roman" w:hAnsi="Times New Roman" w:cs="Times New Roman"/>
          <w:sz w:val="24"/>
          <w:szCs w:val="24"/>
        </w:rPr>
        <w:br/>
        <w:t>(850) 487-1824</w:t>
      </w:r>
    </w:p>
    <w:p w:rsidR="00B21E2C" w:rsidRPr="00B21E2C" w:rsidRDefault="00B21E2C" w:rsidP="00B21E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733D" w:rsidRPr="00B21E2C" w:rsidRDefault="00401371" w:rsidP="00B21E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(Email Address)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074AA2">
          <w:rPr>
            <w:rStyle w:val="Hyperlink"/>
            <w:rFonts w:ascii="Times New Roman" w:hAnsi="Times New Roman" w:cs="Times New Roman"/>
            <w:sz w:val="24"/>
            <w:szCs w:val="24"/>
          </w:rPr>
          <w:t>ProCodesNBAO@myfloridalicense.com</w:t>
        </w:r>
      </w:hyperlink>
    </w:p>
    <w:p w:rsidR="0095733D" w:rsidRPr="00D03F2B" w:rsidRDefault="0095733D" w:rsidP="00AE1522">
      <w:pPr>
        <w:pStyle w:val="NormalWeb"/>
        <w:shd w:val="clear" w:color="auto" w:fill="FFFFFF"/>
        <w:ind w:left="1440" w:hanging="1440"/>
        <w:rPr>
          <w:color w:val="000000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3: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A356B3" w:rsidRPr="00D03F2B">
        <w:rPr>
          <w:b/>
          <w:color w:val="000000"/>
        </w:rPr>
        <w:t>Local G</w:t>
      </w:r>
      <w:r w:rsidRPr="00D03F2B">
        <w:rPr>
          <w:b/>
          <w:color w:val="000000"/>
        </w:rPr>
        <w:t xml:space="preserve">overnment </w:t>
      </w:r>
      <w:r w:rsidR="00A356B3" w:rsidRPr="00D03F2B">
        <w:rPr>
          <w:b/>
          <w:color w:val="000000"/>
        </w:rPr>
        <w:t>R</w:t>
      </w:r>
      <w:r w:rsidR="007766F7" w:rsidRPr="00D03F2B">
        <w:rPr>
          <w:b/>
          <w:color w:val="000000"/>
        </w:rPr>
        <w:t>esponse:</w:t>
      </w:r>
      <w:r w:rsidR="007766F7" w:rsidRPr="00D03F2B">
        <w:rPr>
          <w:color w:val="000000"/>
        </w:rPr>
        <w:t xml:space="preserve"> T</w:t>
      </w:r>
      <w:r w:rsidR="00AE1522" w:rsidRPr="00D03F2B">
        <w:rPr>
          <w:color w:val="000000"/>
        </w:rPr>
        <w:t>he local government shall respond to the petition</w:t>
      </w:r>
      <w:r w:rsidR="007B5809">
        <w:rPr>
          <w:color w:val="000000"/>
        </w:rPr>
        <w:t>er</w:t>
      </w:r>
      <w:r w:rsidR="00AE1522" w:rsidRPr="00D03F2B">
        <w:rPr>
          <w:color w:val="000000"/>
        </w:rPr>
        <w:t xml:space="preserve"> by certified mail, return receipt requested, and send a copy of its response </w:t>
      </w:r>
      <w:r w:rsidR="00617F18" w:rsidRPr="00D03F2B">
        <w:rPr>
          <w:color w:val="000000"/>
        </w:rPr>
        <w:t xml:space="preserve">to </w:t>
      </w:r>
      <w:r w:rsidR="00AE1522" w:rsidRPr="00D03F2B">
        <w:rPr>
          <w:color w:val="000000"/>
        </w:rPr>
        <w:t xml:space="preserve">the Commission </w:t>
      </w:r>
      <w:r w:rsidR="00AE1522" w:rsidRPr="00D03F2B">
        <w:t xml:space="preserve">within </w:t>
      </w:r>
      <w:r w:rsidR="00AE1522" w:rsidRPr="00D03F2B">
        <w:rPr>
          <w:b/>
          <w:u w:val="single"/>
        </w:rPr>
        <w:t>14 days</w:t>
      </w:r>
      <w:r w:rsidR="00AE1522" w:rsidRPr="00D03F2B">
        <w:t xml:space="preserve"> </w:t>
      </w:r>
      <w:r w:rsidR="00AE1522" w:rsidRPr="00D03F2B">
        <w:rPr>
          <w:color w:val="000000"/>
        </w:rPr>
        <w:t>after receipt of the petition, including Saturdays, Sundays, and legal holidays.</w:t>
      </w:r>
    </w:p>
    <w:p w:rsidR="00AE1522" w:rsidRDefault="00AE1522" w:rsidP="00AE1522">
      <w:pPr>
        <w:pStyle w:val="NormalWeb"/>
        <w:shd w:val="clear" w:color="auto" w:fill="FFFFFF"/>
        <w:ind w:left="1440" w:hanging="1440"/>
        <w:rPr>
          <w:color w:val="000000"/>
          <w:sz w:val="27"/>
          <w:szCs w:val="27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4: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 xml:space="preserve"> 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A356B3" w:rsidRPr="00D03F2B">
        <w:rPr>
          <w:b/>
          <w:color w:val="000000"/>
        </w:rPr>
        <w:t>Publishing the P</w:t>
      </w:r>
      <w:r w:rsidR="004961EE" w:rsidRPr="00D03F2B">
        <w:rPr>
          <w:b/>
          <w:color w:val="000000"/>
        </w:rPr>
        <w:t>etition</w:t>
      </w:r>
      <w:r w:rsidR="004961EE" w:rsidRPr="00D03F2B">
        <w:rPr>
          <w:color w:val="000000"/>
        </w:rPr>
        <w:t xml:space="preserve">:  </w:t>
      </w:r>
      <w:r w:rsidRPr="00D03F2B">
        <w:rPr>
          <w:color w:val="000000"/>
        </w:rPr>
        <w:t xml:space="preserve">Upon receipt of </w:t>
      </w:r>
      <w:r w:rsidR="007C1C1F" w:rsidRPr="00D03F2B">
        <w:rPr>
          <w:color w:val="000000"/>
        </w:rPr>
        <w:t>the</w:t>
      </w:r>
      <w:r w:rsidRPr="00D03F2B">
        <w:rPr>
          <w:color w:val="000000"/>
        </w:rPr>
        <w:t xml:space="preserve"> completed petition, the Commission shall publish the petition, including any response submitted by the local government, on the Building Code Information System.</w:t>
      </w:r>
    </w:p>
    <w:p w:rsidR="00AE1522" w:rsidRPr="00D03F2B" w:rsidRDefault="00AE1522" w:rsidP="00AE1522">
      <w:pPr>
        <w:pStyle w:val="NormalWeb"/>
        <w:shd w:val="clear" w:color="auto" w:fill="FFFFFF"/>
        <w:ind w:left="1440" w:hanging="1440"/>
        <w:rPr>
          <w:color w:val="000000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5: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A356B3" w:rsidRPr="00D03F2B">
        <w:rPr>
          <w:b/>
          <w:color w:val="000000"/>
        </w:rPr>
        <w:t>Public C</w:t>
      </w:r>
      <w:r w:rsidR="004961EE" w:rsidRPr="00D03F2B">
        <w:rPr>
          <w:b/>
          <w:color w:val="000000"/>
        </w:rPr>
        <w:t>omment</w:t>
      </w:r>
      <w:r w:rsidR="004961EE" w:rsidRPr="00D03F2B">
        <w:rPr>
          <w:color w:val="000000"/>
        </w:rPr>
        <w:t xml:space="preserve">:  </w:t>
      </w:r>
      <w:r w:rsidR="007766F7" w:rsidRPr="00D03F2B">
        <w:rPr>
          <w:color w:val="000000"/>
        </w:rPr>
        <w:t xml:space="preserve">The Commission will accept public comments on the petition </w:t>
      </w:r>
      <w:r w:rsidR="004961EE" w:rsidRPr="00D03F2B">
        <w:rPr>
          <w:color w:val="000000"/>
        </w:rPr>
        <w:t>via email</w:t>
      </w:r>
      <w:r w:rsidR="007766F7" w:rsidRPr="00D03F2B">
        <w:rPr>
          <w:color w:val="000000"/>
        </w:rPr>
        <w:t>.  Comments shall be emailed to</w:t>
      </w:r>
      <w:r w:rsidR="00401371" w:rsidRPr="00401371">
        <w:t xml:space="preserve"> </w:t>
      </w:r>
      <w:hyperlink r:id="rId6" w:history="1">
        <w:r w:rsidR="00401371" w:rsidRPr="002114FC">
          <w:rPr>
            <w:rStyle w:val="Hyperlink"/>
          </w:rPr>
          <w:t>ProCodesNBAO@myfloridalicense.com</w:t>
        </w:r>
      </w:hyperlink>
      <w:r w:rsidR="007766F7" w:rsidRPr="00D03F2B">
        <w:rPr>
          <w:color w:val="000000"/>
        </w:rPr>
        <w:t xml:space="preserve">. </w:t>
      </w:r>
    </w:p>
    <w:p w:rsidR="00D343C3" w:rsidRDefault="00D343C3" w:rsidP="00AE1522">
      <w:pPr>
        <w:pStyle w:val="NormalWeb"/>
        <w:shd w:val="clear" w:color="auto" w:fill="FFFFFF"/>
        <w:ind w:left="1440" w:hanging="1440"/>
        <w:rPr>
          <w:color w:val="000000"/>
          <w:sz w:val="27"/>
          <w:szCs w:val="27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6: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A356B3" w:rsidRPr="00D03F2B">
        <w:rPr>
          <w:b/>
          <w:color w:val="000000"/>
        </w:rPr>
        <w:t>Posting Public C</w:t>
      </w:r>
      <w:r w:rsidR="00617F18" w:rsidRPr="00D03F2B">
        <w:rPr>
          <w:b/>
          <w:color w:val="000000"/>
        </w:rPr>
        <w:t>omment</w:t>
      </w:r>
      <w:r w:rsidR="00A356B3" w:rsidRPr="00D03F2B">
        <w:rPr>
          <w:b/>
          <w:color w:val="000000"/>
        </w:rPr>
        <w:t xml:space="preserve"> on the Building Code Information System</w:t>
      </w:r>
      <w:r w:rsidR="00617F18" w:rsidRPr="00D03F2B">
        <w:rPr>
          <w:color w:val="000000"/>
        </w:rPr>
        <w:t xml:space="preserve">:  </w:t>
      </w:r>
      <w:r w:rsidR="007766F7" w:rsidRPr="00D03F2B">
        <w:rPr>
          <w:color w:val="000000"/>
        </w:rPr>
        <w:t>Commission staff will post the public comments on the Building Code Information System for review by the p</w:t>
      </w:r>
      <w:r w:rsidR="00D03F2B">
        <w:rPr>
          <w:color w:val="000000"/>
        </w:rPr>
        <w:t>ublic.</w:t>
      </w:r>
    </w:p>
    <w:p w:rsidR="00617F18" w:rsidRDefault="00617F18" w:rsidP="00AE1522">
      <w:pPr>
        <w:pStyle w:val="NormalWeb"/>
        <w:shd w:val="clear" w:color="auto" w:fill="FFFFFF"/>
        <w:ind w:left="1440" w:hanging="1440"/>
        <w:rPr>
          <w:color w:val="000000"/>
          <w:sz w:val="27"/>
          <w:szCs w:val="27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7: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7766F7" w:rsidRPr="00D03F2B">
        <w:rPr>
          <w:b/>
          <w:color w:val="000000"/>
        </w:rPr>
        <w:t>Petition Review by the Appropriate Technical Advisory Committee (TAC)</w:t>
      </w:r>
      <w:r w:rsidRPr="00D03F2B">
        <w:rPr>
          <w:b/>
          <w:iCs/>
          <w:color w:val="000000"/>
        </w:rPr>
        <w:t>:</w:t>
      </w:r>
      <w:r w:rsidRPr="00D03F2B">
        <w:rPr>
          <w:color w:val="000000"/>
        </w:rPr>
        <w:t xml:space="preserve">  </w:t>
      </w:r>
      <w:r w:rsidR="00D03F2B">
        <w:rPr>
          <w:color w:val="000000"/>
        </w:rPr>
        <w:t xml:space="preserve">A </w:t>
      </w:r>
      <w:r w:rsidRPr="00D03F2B">
        <w:rPr>
          <w:color w:val="000000"/>
        </w:rPr>
        <w:t>TAC meeting</w:t>
      </w:r>
      <w:r w:rsidR="00D03F2B">
        <w:rPr>
          <w:color w:val="000000"/>
        </w:rPr>
        <w:t xml:space="preserve"> will be held</w:t>
      </w:r>
      <w:r w:rsidRPr="00D03F2B">
        <w:rPr>
          <w:color w:val="000000"/>
        </w:rPr>
        <w:t xml:space="preserve"> </w:t>
      </w:r>
      <w:r w:rsidR="004F0FD7" w:rsidRPr="00D03F2B">
        <w:rPr>
          <w:color w:val="000000"/>
        </w:rPr>
        <w:t>to review and discuss the petition</w:t>
      </w:r>
      <w:r w:rsidR="009D1341">
        <w:rPr>
          <w:color w:val="000000"/>
        </w:rPr>
        <w:t>,</w:t>
      </w:r>
      <w:r w:rsidR="004F0FD7" w:rsidRPr="00D03F2B">
        <w:rPr>
          <w:color w:val="000000"/>
        </w:rPr>
        <w:t xml:space="preserve"> the </w:t>
      </w:r>
      <w:r w:rsidR="00C83BA3">
        <w:rPr>
          <w:color w:val="000000"/>
        </w:rPr>
        <w:t xml:space="preserve">local government’s </w:t>
      </w:r>
      <w:r w:rsidR="004F0FD7" w:rsidRPr="00D03F2B">
        <w:rPr>
          <w:color w:val="000000"/>
        </w:rPr>
        <w:t>response, and any public comments</w:t>
      </w:r>
      <w:r w:rsidR="007766F7" w:rsidRPr="00D03F2B">
        <w:rPr>
          <w:color w:val="000000"/>
        </w:rPr>
        <w:t>.  The TAC will provide</w:t>
      </w:r>
      <w:r w:rsidR="004F0FD7" w:rsidRPr="00D03F2B">
        <w:rPr>
          <w:color w:val="000000"/>
        </w:rPr>
        <w:t xml:space="preserve"> </w:t>
      </w:r>
      <w:r w:rsidR="007766F7" w:rsidRPr="00D03F2B">
        <w:rPr>
          <w:color w:val="000000"/>
        </w:rPr>
        <w:t xml:space="preserve">a </w:t>
      </w:r>
      <w:r w:rsidR="004F0FD7" w:rsidRPr="00D03F2B">
        <w:rPr>
          <w:color w:val="000000"/>
        </w:rPr>
        <w:t>recommendation to the Commission regarding the petition.</w:t>
      </w:r>
    </w:p>
    <w:p w:rsidR="004F0FD7" w:rsidRDefault="004F0FD7" w:rsidP="00AE1522">
      <w:pPr>
        <w:pStyle w:val="NormalWeb"/>
        <w:shd w:val="clear" w:color="auto" w:fill="FFFFFF"/>
        <w:ind w:left="1440" w:hanging="1440"/>
        <w:rPr>
          <w:color w:val="000000"/>
          <w:sz w:val="27"/>
          <w:szCs w:val="27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lastRenderedPageBreak/>
        <w:t>Step 8: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 xml:space="preserve"> 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A356B3" w:rsidRPr="00D03F2B">
        <w:rPr>
          <w:b/>
          <w:color w:val="000000"/>
        </w:rPr>
        <w:t>Nonbinding Advisory O</w:t>
      </w:r>
      <w:r w:rsidRPr="00D03F2B">
        <w:rPr>
          <w:b/>
          <w:color w:val="000000"/>
        </w:rPr>
        <w:t>pinion:</w:t>
      </w:r>
      <w:r w:rsidR="00A356B3" w:rsidRPr="00D03F2B">
        <w:rPr>
          <w:color w:val="000000"/>
        </w:rPr>
        <w:t xml:space="preserve">  The Commission shall issue a nonbinding</w:t>
      </w:r>
      <w:r w:rsidRPr="00D03F2B">
        <w:rPr>
          <w:color w:val="000000"/>
        </w:rPr>
        <w:t xml:space="preserve"> advisory opinion stating whether the regulation, law, ordinance, policy, </w:t>
      </w:r>
      <w:r w:rsidR="00C83BA3">
        <w:rPr>
          <w:color w:val="000000"/>
        </w:rPr>
        <w:t xml:space="preserve">amendment, </w:t>
      </w:r>
      <w:r w:rsidRPr="00D03F2B">
        <w:rPr>
          <w:color w:val="000000"/>
        </w:rPr>
        <w:t>land use</w:t>
      </w:r>
      <w:r w:rsidR="00C83BA3">
        <w:rPr>
          <w:color w:val="000000"/>
        </w:rPr>
        <w:t xml:space="preserve"> provision,</w:t>
      </w:r>
      <w:r w:rsidRPr="00D03F2B">
        <w:rPr>
          <w:color w:val="000000"/>
        </w:rPr>
        <w:t xml:space="preserve"> or zoning provision</w:t>
      </w:r>
      <w:r w:rsidR="00C83BA3">
        <w:rPr>
          <w:color w:val="000000"/>
        </w:rPr>
        <w:t xml:space="preserve"> </w:t>
      </w:r>
      <w:r w:rsidRPr="00D03F2B">
        <w:rPr>
          <w:color w:val="000000"/>
        </w:rPr>
        <w:t>is a technical amendment to the Florida Building Code within 30 days after the filing of the petition</w:t>
      </w:r>
      <w:r w:rsidR="007B5809">
        <w:rPr>
          <w:color w:val="000000"/>
        </w:rPr>
        <w:t xml:space="preserve"> with the Commission</w:t>
      </w:r>
      <w:r w:rsidRPr="00D03F2B">
        <w:rPr>
          <w:color w:val="000000"/>
        </w:rPr>
        <w:t>, including Saturdays, Sundays, and legal holidays.</w:t>
      </w:r>
    </w:p>
    <w:p w:rsidR="009E2BAA" w:rsidRPr="009E2BAA" w:rsidRDefault="004F0FD7" w:rsidP="009E2BAA">
      <w:pPr>
        <w:pStyle w:val="NormalWeb"/>
        <w:shd w:val="clear" w:color="auto" w:fill="FFFFFF"/>
        <w:ind w:left="1440" w:hanging="1440"/>
        <w:rPr>
          <w:color w:val="000000"/>
        </w:rPr>
      </w:pPr>
      <w:r w:rsidRPr="00D03F2B">
        <w:rPr>
          <w:b/>
          <w:bCs/>
          <w:color w:val="000000"/>
          <w:sz w:val="28"/>
          <w:szCs w:val="28"/>
          <w:shd w:val="clear" w:color="auto" w:fill="F2F2F2" w:themeFill="background1" w:themeFillShade="F2"/>
        </w:rPr>
        <w:t>Step 9:</w:t>
      </w:r>
      <w:r w:rsidRPr="008D1F85">
        <w:rPr>
          <w:b/>
          <w:bCs/>
          <w:color w:val="000000"/>
          <w:sz w:val="27"/>
          <w:szCs w:val="27"/>
          <w:shd w:val="clear" w:color="auto" w:fill="F2F2F2" w:themeFill="background1" w:themeFillShade="F2"/>
        </w:rPr>
        <w:tab/>
      </w:r>
      <w:r w:rsidR="007766F7" w:rsidRPr="00D03F2B">
        <w:rPr>
          <w:b/>
          <w:color w:val="000000"/>
        </w:rPr>
        <w:t>Publishing the Nonbinding Advisory O</w:t>
      </w:r>
      <w:r w:rsidRPr="00D03F2B">
        <w:rPr>
          <w:b/>
          <w:color w:val="000000"/>
        </w:rPr>
        <w:t>pinion:</w:t>
      </w:r>
      <w:r w:rsidRPr="00D03F2B">
        <w:rPr>
          <w:color w:val="000000"/>
        </w:rPr>
        <w:t xml:space="preserve">  </w:t>
      </w:r>
      <w:r w:rsidR="003A2E89" w:rsidRPr="00D03F2B">
        <w:rPr>
          <w:color w:val="000000"/>
        </w:rPr>
        <w:t>The Commission shall publish its</w:t>
      </w:r>
      <w:r w:rsidR="00A356B3" w:rsidRPr="00D03F2B">
        <w:rPr>
          <w:color w:val="000000"/>
        </w:rPr>
        <w:t xml:space="preserve"> nonbinding</w:t>
      </w:r>
      <w:r w:rsidR="003A2E89" w:rsidRPr="00D03F2B">
        <w:rPr>
          <w:color w:val="000000"/>
        </w:rPr>
        <w:t xml:space="preserve"> advisory opinion on the Building Code Information System and in the Florida Administrative Register.</w:t>
      </w:r>
      <w:r w:rsidR="009E2BAA">
        <w:rPr>
          <w:color w:val="000000"/>
        </w:rPr>
        <w:t xml:space="preserve">  </w:t>
      </w:r>
      <w:hyperlink r:id="rId7" w:history="1">
        <w:r w:rsidR="009E2BAA" w:rsidRPr="007402F8">
          <w:rPr>
            <w:rStyle w:val="Hyperlink"/>
          </w:rPr>
          <w:t>Click here to view published nonbind</w:t>
        </w:r>
        <w:r w:rsidR="009E2BAA" w:rsidRPr="007402F8">
          <w:rPr>
            <w:rStyle w:val="Hyperlink"/>
          </w:rPr>
          <w:t>i</w:t>
        </w:r>
        <w:r w:rsidR="009E2BAA" w:rsidRPr="007402F8">
          <w:rPr>
            <w:rStyle w:val="Hyperlink"/>
          </w:rPr>
          <w:t>n</w:t>
        </w:r>
        <w:r w:rsidR="009E2BAA" w:rsidRPr="007402F8">
          <w:rPr>
            <w:rStyle w:val="Hyperlink"/>
          </w:rPr>
          <w:t xml:space="preserve">g advisory opinions. </w:t>
        </w:r>
      </w:hyperlink>
      <w:r w:rsidR="009E2BAA">
        <w:t xml:space="preserve"> </w:t>
      </w:r>
    </w:p>
    <w:p w:rsidR="004F0FD7" w:rsidRPr="00D03F2B" w:rsidRDefault="003A2E89" w:rsidP="00AE1522">
      <w:pPr>
        <w:pStyle w:val="NormalWeb"/>
        <w:shd w:val="clear" w:color="auto" w:fill="FFFFFF"/>
        <w:ind w:left="1440" w:hanging="1440"/>
        <w:rPr>
          <w:i/>
          <w:iCs/>
          <w:color w:val="000000"/>
        </w:rPr>
      </w:pPr>
      <w:r w:rsidRPr="00D03F2B">
        <w:rPr>
          <w:b/>
          <w:i/>
          <w:iCs/>
          <w:color w:val="000000"/>
        </w:rPr>
        <w:t>Note:</w:t>
      </w:r>
      <w:r w:rsidRPr="00D03F2B">
        <w:rPr>
          <w:i/>
          <w:iCs/>
          <w:color w:val="000000"/>
        </w:rPr>
        <w:t xml:space="preserve">  The Commission’s advisory opinion is nonbinding and is not a declaratory statement under s. 120.565, Florida Statutes.  </w:t>
      </w:r>
    </w:p>
    <w:p w:rsidR="004F0FD7" w:rsidRDefault="004F0FD7" w:rsidP="00AE1522">
      <w:pPr>
        <w:pStyle w:val="NormalWeb"/>
        <w:shd w:val="clear" w:color="auto" w:fill="FFFFFF"/>
        <w:ind w:left="1440" w:hanging="1440"/>
        <w:rPr>
          <w:color w:val="000000"/>
          <w:sz w:val="27"/>
          <w:szCs w:val="27"/>
        </w:rPr>
      </w:pPr>
    </w:p>
    <w:p w:rsidR="0095733D" w:rsidRDefault="0095733D" w:rsidP="0095733D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5FF5" w:rsidRPr="00B45FF5" w:rsidRDefault="00B45FF5" w:rsidP="0095733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45FF5" w:rsidRPr="00B4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F5"/>
    <w:rsid w:val="00074AA2"/>
    <w:rsid w:val="0008092E"/>
    <w:rsid w:val="001759A7"/>
    <w:rsid w:val="003A2E89"/>
    <w:rsid w:val="00401371"/>
    <w:rsid w:val="004961EE"/>
    <w:rsid w:val="004F0FD7"/>
    <w:rsid w:val="00617F18"/>
    <w:rsid w:val="006530C5"/>
    <w:rsid w:val="00726A47"/>
    <w:rsid w:val="007402F8"/>
    <w:rsid w:val="007766F7"/>
    <w:rsid w:val="007B5809"/>
    <w:rsid w:val="007C1C1F"/>
    <w:rsid w:val="00862CDE"/>
    <w:rsid w:val="008D1F85"/>
    <w:rsid w:val="00904B00"/>
    <w:rsid w:val="0095733D"/>
    <w:rsid w:val="009D1341"/>
    <w:rsid w:val="009E2BAA"/>
    <w:rsid w:val="00A356B3"/>
    <w:rsid w:val="00AE1522"/>
    <w:rsid w:val="00B21E2C"/>
    <w:rsid w:val="00B45FF5"/>
    <w:rsid w:val="00C83BA3"/>
    <w:rsid w:val="00C94BB1"/>
    <w:rsid w:val="00D03F2B"/>
    <w:rsid w:val="00D343C3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33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33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oridabuilding.org/fbc/NON-Binding_Opinion_Process/Non-Binding_Advisory_Opini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CodesNBAO@myfloridalicense.com" TargetMode="External"/><Relationship Id="rId5" Type="http://schemas.openxmlformats.org/officeDocument/2006/relationships/hyperlink" Target="mailto:ProCodesNBAO@myfloridalicens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Campbell, Thomas</cp:lastModifiedBy>
  <cp:revision>2</cp:revision>
  <dcterms:created xsi:type="dcterms:W3CDTF">2021-11-16T18:07:00Z</dcterms:created>
  <dcterms:modified xsi:type="dcterms:W3CDTF">2021-11-16T18:07:00Z</dcterms:modified>
</cp:coreProperties>
</file>